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6"/>
        <w:tblW w:w="96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850"/>
        <w:gridCol w:w="4252"/>
      </w:tblGrid>
      <w:tr>
        <w:tblPrEx/>
        <w:trPr>
          <w:trHeight w:val="45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(РОСРЕЕСТР)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Управление Федеральной службы государственной регистрации, кадастра и картографии по Новгородской области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(Управление Росреестра по Новгородской области)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Октябрьская ул., д. 17,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Великий Новгород, 173002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Тел. (8162)943-000, факс 770-366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е-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: 53_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upr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rosreestr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PT Astra Serif" w:hAnsi="PT Astra Serif" w:cs="PT Astra Serif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ОКПО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74991578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; ОГРН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1045300293411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;</w:t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PT Astra Serif" w:hAnsi="PT Astra Serif" w:cs="PT Astra Serif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ИНН/КПП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5321100694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/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532101001</w:t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r>
              <w:rPr>
                <w:rFonts w:ascii="Times New Roman" w:hAnsi="Times New Roman" w:cs="Times New Roman"/>
              </w:rPr>
              <w:t xml:space="preserve">_________________</w:t>
            </w: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_______________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</w:t>
            </w:r>
            <w:r/>
          </w:p>
          <w:p>
            <w:pPr>
              <w:rPr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на № </w:t>
            </w:r>
            <w:r>
              <w:rPr>
                <w:rFonts w:ascii="Times New Roman" w:hAnsi="Times New Roman" w:cs="Times New Roman"/>
              </w:rPr>
              <w:t xml:space="preserve">____________  от </w:t>
            </w:r>
            <w:r>
              <w:rPr>
                <w:u w:val="single"/>
              </w:rPr>
              <w:t xml:space="preserve">_________________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lang w:eastAsia="ru-RU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Саморегулируемые организации кадастровых инженеров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PT Astra Serif" w:hAnsi="PT Astra Serif" w:cs="PT Astra Serif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PT Astra Serif" w:hAnsi="PT Astra Serif" w:cs="PT Astra Serif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lang w:eastAsia="ru-RU"/>
              </w:rPr>
              <w:t xml:space="preserve">Кадастровые инженеры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PT Astra Serif" w:hAnsi="PT Astra Serif" w:cs="PT Astra Serif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  <w:lang w:eastAsia="ru-RU"/>
              </w:rPr>
              <w:t xml:space="preserve">(по списку)</w:t>
            </w: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lang w:eastAsia="ru-RU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jc w:val="center"/>
              <w:spacing w:after="200" w:line="276" w:lineRule="auto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lang w:eastAsia="ru-RU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</w:tc>
      </w:tr>
    </w:tbl>
    <w:p>
      <w:pPr>
        <w:pStyle w:val="845"/>
        <w:spacing w:before="0" w:beforeAutospacing="0" w:after="0" w:afterAutospacing="0"/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О годе</w:t>
      </w:r>
      <w:r>
        <w:rPr>
          <w:rFonts w:ascii="PT Astra Serif" w:hAnsi="PT Astra Serif" w:cs="PT Astra Serif"/>
          <w:b w:val="0"/>
          <w:bCs w:val="0"/>
          <w:sz w:val="24"/>
          <w:szCs w:val="24"/>
        </w:rPr>
        <w:t xml:space="preserve"> 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завершения строительства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r>
    </w:p>
    <w:p>
      <w:pPr>
        <w:ind w:firstLine="0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0" w:right="0" w:firstLine="708"/>
        <w:jc w:val="both"/>
        <w:spacing w:before="0" w:after="0" w:line="288" w:lineRule="atLeast"/>
        <w:rPr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PT Astra Serif" w:cs="PT Astra Serif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</w:rPr>
        <w:t xml:space="preserve">Управление 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</w:rPr>
        <w:t xml:space="preserve">Росреестра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по Новгородской области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(далее – Управление) обращает внимание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, что с 01.03.2025 ст.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52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Градостроительного кодекса Российской Федерации (далее – ГрК) 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дополнена в том числе ч. 13, 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согласно которой в случае, если в соответствии с ч. 17 ст. 51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ГрК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для строительства или реконструкции здания или сооружения не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требуются получение р</w:t>
      </w: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азрешения на строительство и (или) подготовка проектной документации, с</w:t>
      </w: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троительство или реконструкция здания или сооружения</w:t>
      </w: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 (помещений или машино-мест в таких здании или сооружении) считаются завершенными со дня осуществления их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кадастрового учета.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rPr>
          <w:rFonts w:ascii="PT Astra Serif" w:hAnsi="PT Astra Serif" w:cs="PT Astra Serif"/>
          <w:iCs/>
          <w:sz w:val="28"/>
          <w:szCs w:val="28"/>
          <w:u w:val="single"/>
        </w:rPr>
      </w:pP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Таким образом, год завершения строительства объекта недвижимости, для которого в соответствии с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ч. 17 ст. 51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u w:val="single"/>
        </w:rPr>
        <w:t xml:space="preserve">ГрК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не требуется получение разрешительных документов, должен соответствовать году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осуществления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государственного кадастрового учета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.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</w:r>
      <w:r>
        <w:rPr>
          <w:rFonts w:ascii="PT Astra Serif" w:hAnsi="PT Astra Serif" w:cs="PT Astra Serif"/>
          <w:iCs/>
          <w:sz w:val="28"/>
          <w:szCs w:val="28"/>
          <w:u w:val="single"/>
        </w:rPr>
      </w:r>
    </w:p>
    <w:p>
      <w:pPr>
        <w:contextualSpacing/>
        <w:ind w:firstLine="709"/>
        <w:jc w:val="both"/>
        <w:spacing w:after="0" w:line="240" w:lineRule="auto"/>
        <w:rPr>
          <w:rFonts w:ascii="PT Astra Serif" w:hAnsi="PT Astra Serif" w:eastAsia="PT Astra Serif" w:cs="PT Astra Serif"/>
          <w:iCs/>
          <w:sz w:val="26"/>
          <w:szCs w:val="26"/>
        </w:rPr>
      </w:pP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При этом 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год завершения строительства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объекта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недвижимости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, указанный в техническом плане и декларации об объекте недвижимости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,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должен соответствовать году подготовки технического плана, за исключением случаев, когда 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техническ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ий план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подготовлен с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использован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ием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документ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ов, подтверждающих иной год завершения строительства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 (например, технический паспорт, составленный до 01.01.2013)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.</w:t>
      </w:r>
      <w:r>
        <w:rPr>
          <w:rFonts w:ascii="PT Astra Serif" w:hAnsi="PT Astra Serif" w:cs="PT Astra Serif"/>
          <w:iCs/>
          <w:sz w:val="26"/>
          <w:szCs w:val="26"/>
        </w:rPr>
      </w:r>
      <w:r>
        <w:rPr>
          <w:rFonts w:ascii="PT Astra Serif" w:hAnsi="PT Astra Serif" w:eastAsia="PT Astra Serif" w:cs="PT Astra Serif"/>
          <w:iCs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rPr>
          <w:rFonts w:ascii="PT Astra Serif" w:hAnsi="PT Astra Serif" w:cs="PT Astra Serif"/>
          <w:sz w:val="26"/>
          <w:szCs w:val="26"/>
          <w:u w:val="single"/>
        </w:rPr>
      </w:pP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В отсутствие подтверждающих год завершения строительства объекта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 недвижимости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документов нельзя указывать в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техническом плане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 иной год завершения строительства отличный от года подготовки технического плана, указанное обстоятельство будет являться основанием для приостановления 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государственного кадастрового учета</w:t>
      </w:r>
      <w:r>
        <w:rPr>
          <w:rFonts w:ascii="PT Astra Serif" w:hAnsi="PT Astra Serif" w:eastAsia="PT Astra Serif" w:cs="PT Astra Serif"/>
          <w:iCs/>
          <w:sz w:val="26"/>
          <w:szCs w:val="26"/>
          <w:u w:val="single"/>
        </w:rPr>
        <w:t xml:space="preserve"> и (или) государственной регистрации прав.</w:t>
      </w:r>
      <w:r>
        <w:rPr>
          <w:sz w:val="26"/>
          <w:szCs w:val="26"/>
          <w:u w:val="single"/>
        </w:rPr>
      </w:r>
      <w:r>
        <w:rPr>
          <w:rFonts w:ascii="PT Astra Serif" w:hAnsi="PT Astra Serif" w:cs="PT Astra Serif"/>
          <w:sz w:val="26"/>
          <w:szCs w:val="26"/>
          <w:u w:val="singl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eastAsia="PT Astra Serif" w:cs="PT Astra Serif"/>
          <w:sz w:val="26"/>
          <w:szCs w:val="26"/>
          <w:highlight w:val="none"/>
          <w:u w:val="none"/>
        </w:rPr>
      </w:pP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Просим </w:t>
      </w: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обеспечить </w:t>
      </w: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корректное указание</w:t>
      </w:r>
      <w:r>
        <w:rPr>
          <w:rFonts w:ascii="PT Astra Serif" w:hAnsi="PT Astra Serif" w:eastAsia="PT Astra Serif" w:cs="PT Astra Serif"/>
          <w:iCs/>
          <w:sz w:val="26"/>
          <w:szCs w:val="26"/>
          <w:u w:val="none"/>
        </w:rPr>
        <w:t xml:space="preserve"> в документах сведений о годе завершения строительства объектов недвижимости.</w:t>
      </w:r>
      <w:r>
        <w:rPr>
          <w:rFonts w:ascii="PT Astra Serif" w:hAnsi="PT Astra Serif" w:eastAsia="PT Astra Serif" w:cs="PT Astra Serif"/>
          <w:sz w:val="26"/>
          <w:szCs w:val="26"/>
          <w:u w:val="none"/>
        </w:rPr>
        <w:t xml:space="preserve"> </w:t>
      </w:r>
      <w:r>
        <w:rPr>
          <w:rFonts w:ascii="PT Astra Serif" w:hAnsi="PT Astra Serif" w:eastAsia="PT Astra Serif" w:cs="PT Astra Serif"/>
          <w:iCs/>
          <w:sz w:val="26"/>
          <w:szCs w:val="26"/>
          <w:highlight w:val="none"/>
        </w:rPr>
        <w:t xml:space="preserve">Благодарим за взаимодействие.</w:t>
      </w:r>
      <w:r>
        <w:rPr>
          <w:rFonts w:ascii="PT Astra Serif" w:hAnsi="PT Astra Serif" w:eastAsia="PT Astra Serif" w:cs="PT Astra Serif"/>
          <w:sz w:val="26"/>
          <w:szCs w:val="26"/>
          <w:highlight w:val="none"/>
          <w:u w:val="none"/>
        </w:rPr>
      </w:r>
      <w:r>
        <w:rPr>
          <w:rFonts w:ascii="PT Astra Serif" w:hAnsi="PT Astra Serif" w:eastAsia="PT Astra Serif" w:cs="PT Astra Serif"/>
          <w:sz w:val="26"/>
          <w:szCs w:val="26"/>
          <w:highlight w:val="none"/>
          <w:u w:val="none"/>
        </w:rPr>
      </w:r>
    </w:p>
    <w:p>
      <w:pPr>
        <w:ind w:firstLine="0"/>
        <w:jc w:val="both"/>
        <w:spacing w:after="0"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0"/>
        <w:jc w:val="both"/>
        <w:spacing w:after="0"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Заместитель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eastAsia="PT Astra Serif" w:cs="PT Astra Serif"/>
          <w:sz w:val="26"/>
          <w:szCs w:val="26"/>
        </w:rPr>
      </w:r>
    </w:p>
    <w:p>
      <w:pPr>
        <w:jc w:val="left"/>
        <w:spacing w:after="0"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руководителя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Управления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                                                                       Е.А. Шемякина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</w:rPr>
        <w:t xml:space="preserve">Тюлеменкова Александра Борисовна</w:t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/>
          <w:sz w:val="20"/>
          <w:szCs w:val="20"/>
        </w:rPr>
        <w:t xml:space="preserve">(8162)943-</w:t>
      </w:r>
      <w:r>
        <w:rPr>
          <w:rFonts w:ascii="PT Astra Serif" w:hAnsi="PT Astra Serif" w:eastAsia="PT Astra Serif" w:cs="PT Astra Serif"/>
          <w:sz w:val="20"/>
          <w:szCs w:val="20"/>
        </w:rPr>
        <w:t xml:space="preserve">027</w:t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0"/>
        </w:rPr>
      </w:pPr>
      <w:r>
        <w:rPr>
          <w:rFonts w:ascii="PT Astra Serif" w:hAnsi="PT Astra Serif" w:cs="PT Astra Serif"/>
          <w:sz w:val="20"/>
        </w:rPr>
      </w:r>
      <w:r>
        <w:rPr>
          <w:rFonts w:ascii="PT Astra Serif" w:hAnsi="PT Astra Serif" w:cs="PT Astra Serif"/>
          <w:sz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</w:pPr>
    <w:r/>
    <w:r/>
  </w:p>
  <w:p>
    <w:pPr>
      <w:pStyle w:val="857"/>
    </w:pPr>
    <w:r/>
    <w:r/>
  </w:p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2">
    <w:name w:val="Heading 1 Char"/>
    <w:basedOn w:val="846"/>
    <w:link w:val="845"/>
    <w:uiPriority w:val="9"/>
    <w:rPr>
      <w:rFonts w:ascii="Arial" w:hAnsi="Arial" w:eastAsia="Arial" w:cs="Arial"/>
      <w:sz w:val="40"/>
      <w:szCs w:val="40"/>
    </w:rPr>
  </w:style>
  <w:style w:type="paragraph" w:styleId="673">
    <w:name w:val="Heading 2"/>
    <w:basedOn w:val="844"/>
    <w:next w:val="844"/>
    <w:link w:val="6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4">
    <w:name w:val="Heading 2 Char"/>
    <w:basedOn w:val="846"/>
    <w:link w:val="673"/>
    <w:uiPriority w:val="9"/>
    <w:rPr>
      <w:rFonts w:ascii="Arial" w:hAnsi="Arial" w:eastAsia="Arial" w:cs="Arial"/>
      <w:sz w:val="34"/>
    </w:rPr>
  </w:style>
  <w:style w:type="paragraph" w:styleId="675">
    <w:name w:val="Heading 3"/>
    <w:basedOn w:val="844"/>
    <w:next w:val="844"/>
    <w:link w:val="6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6">
    <w:name w:val="Heading 3 Char"/>
    <w:basedOn w:val="846"/>
    <w:link w:val="675"/>
    <w:uiPriority w:val="9"/>
    <w:rPr>
      <w:rFonts w:ascii="Arial" w:hAnsi="Arial" w:eastAsia="Arial" w:cs="Arial"/>
      <w:sz w:val="30"/>
      <w:szCs w:val="30"/>
    </w:rPr>
  </w:style>
  <w:style w:type="paragraph" w:styleId="677">
    <w:name w:val="Heading 4"/>
    <w:basedOn w:val="844"/>
    <w:next w:val="844"/>
    <w:link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>
    <w:name w:val="Heading 4 Char"/>
    <w:basedOn w:val="846"/>
    <w:link w:val="677"/>
    <w:uiPriority w:val="9"/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844"/>
    <w:next w:val="844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>
    <w:name w:val="Heading 5 Char"/>
    <w:basedOn w:val="846"/>
    <w:link w:val="679"/>
    <w:uiPriority w:val="9"/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844"/>
    <w:next w:val="844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basedOn w:val="846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844"/>
    <w:next w:val="844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basedOn w:val="846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844"/>
    <w:next w:val="844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basedOn w:val="846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844"/>
    <w:next w:val="844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basedOn w:val="846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4"/>
    <w:next w:val="844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6"/>
    <w:link w:val="690"/>
    <w:uiPriority w:val="10"/>
    <w:rPr>
      <w:sz w:val="48"/>
      <w:szCs w:val="48"/>
    </w:rPr>
  </w:style>
  <w:style w:type="paragraph" w:styleId="692">
    <w:name w:val="Subtitle"/>
    <w:basedOn w:val="844"/>
    <w:next w:val="844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6"/>
    <w:link w:val="692"/>
    <w:uiPriority w:val="11"/>
    <w:rPr>
      <w:sz w:val="24"/>
      <w:szCs w:val="24"/>
    </w:rPr>
  </w:style>
  <w:style w:type="paragraph" w:styleId="694">
    <w:name w:val="Quote"/>
    <w:basedOn w:val="844"/>
    <w:next w:val="844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4"/>
    <w:next w:val="844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6"/>
    <w:link w:val="857"/>
    <w:uiPriority w:val="99"/>
  </w:style>
  <w:style w:type="character" w:styleId="699">
    <w:name w:val="Footer Char"/>
    <w:basedOn w:val="846"/>
    <w:link w:val="859"/>
    <w:uiPriority w:val="99"/>
  </w:style>
  <w:style w:type="paragraph" w:styleId="700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859"/>
    <w:uiPriority w:val="99"/>
  </w:style>
  <w:style w:type="table" w:styleId="702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basedOn w:val="846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basedOn w:val="846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</w:style>
  <w:style w:type="paragraph" w:styleId="845">
    <w:name w:val="Heading 1"/>
    <w:basedOn w:val="844"/>
    <w:link w:val="855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character" w:styleId="849">
    <w:name w:val="Hyperlink"/>
    <w:basedOn w:val="846"/>
    <w:uiPriority w:val="99"/>
    <w:semiHidden/>
    <w:unhideWhenUsed/>
    <w:rPr>
      <w:color w:val="0000ff"/>
      <w:u w:val="single"/>
    </w:rPr>
  </w:style>
  <w:style w:type="table" w:styleId="850">
    <w:name w:val="Table Grid"/>
    <w:basedOn w:val="84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1">
    <w:name w:val="List Paragraph"/>
    <w:basedOn w:val="844"/>
    <w:uiPriority w:val="34"/>
    <w:qFormat/>
    <w:pPr>
      <w:contextualSpacing/>
      <w:ind w:left="720"/>
    </w:pPr>
  </w:style>
  <w:style w:type="paragraph" w:styleId="852">
    <w:name w:val="Normal (Web)"/>
    <w:basedOn w:val="84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53">
    <w:name w:val="Balloon Text"/>
    <w:basedOn w:val="844"/>
    <w:link w:val="8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846"/>
    <w:link w:val="853"/>
    <w:uiPriority w:val="99"/>
    <w:semiHidden/>
    <w:rPr>
      <w:rFonts w:ascii="Segoe UI" w:hAnsi="Segoe UI" w:cs="Segoe UI"/>
      <w:sz w:val="18"/>
      <w:szCs w:val="18"/>
    </w:rPr>
  </w:style>
  <w:style w:type="character" w:styleId="855" w:customStyle="1">
    <w:name w:val="Заголовок 1 Знак"/>
    <w:basedOn w:val="846"/>
    <w:link w:val="845"/>
    <w:uiPriority w:val="9"/>
    <w:rPr>
      <w:rFonts w:ascii="Times New Roman" w:hAnsi="Times New Roman" w:eastAsia="Times New Roman" w:cs="Times New Roman"/>
      <w:b/>
      <w:bCs/>
      <w:sz w:val="48"/>
      <w:szCs w:val="48"/>
    </w:rPr>
  </w:style>
  <w:style w:type="table" w:styleId="856" w:customStyle="1">
    <w:name w:val="Сетка таблицы1"/>
    <w:basedOn w:val="847"/>
    <w:next w:val="850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7">
    <w:name w:val="Header"/>
    <w:basedOn w:val="844"/>
    <w:link w:val="8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46"/>
    <w:link w:val="857"/>
    <w:uiPriority w:val="99"/>
  </w:style>
  <w:style w:type="paragraph" w:styleId="859">
    <w:name w:val="Footer"/>
    <w:basedOn w:val="844"/>
    <w:link w:val="8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46"/>
    <w:link w:val="859"/>
    <w:uiPriority w:val="99"/>
  </w:style>
  <w:style w:type="paragraph" w:styleId="861" w:customStyle="1">
    <w:name w:val="ConsPlusNonformat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862" w:customStyle="1">
    <w:name w:val="Body Text Indent"/>
    <w:basedOn w:val="828"/>
    <w:link w:val="842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63" w:customStyle="1">
    <w:name w:val="Emphasis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8F86-D082-4809-B4F7-4279460D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revision>40</cp:revision>
  <dcterms:created xsi:type="dcterms:W3CDTF">2024-09-26T05:52:00Z</dcterms:created>
  <dcterms:modified xsi:type="dcterms:W3CDTF">2026-03-23T13:44:31Z</dcterms:modified>
</cp:coreProperties>
</file>